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EC463" w14:textId="0C66F479" w:rsidR="00976A83" w:rsidRDefault="00976A83" w:rsidP="00976A83">
      <w:r>
        <w:t xml:space="preserve">Disciplina Federale per l’Omologazione dei Percorsi Permanenti  </w:t>
      </w:r>
    </w:p>
    <w:p w14:paraId="5F60D890" w14:textId="77777777" w:rsidR="00976A83" w:rsidRDefault="00976A83" w:rsidP="00976A83">
      <w:r>
        <w:t>•</w:t>
      </w:r>
      <w:r>
        <w:tab/>
        <w:t xml:space="preserve">I Percorsi Permanenti vengono realizzati a fronte di una progettualità e da una richiesta rivolta all’autorità locale competente Ente, Parco, Regione, Comune, </w:t>
      </w:r>
      <w:proofErr w:type="gramStart"/>
      <w:r>
        <w:t>ecc...</w:t>
      </w:r>
      <w:proofErr w:type="gramEnd"/>
      <w:r>
        <w:t xml:space="preserve"> attraverso la presentazione di una SCIA – Segnalazione certificata di inizio attività. Questo perché il Percorso Circolare Permanente a seguito indicato PCP consiste nella realizzazione permanente di opere che modificano il suolo con segnaletiche fisse, che devono essere approvate, opere di manutenzione </w:t>
      </w:r>
      <w:proofErr w:type="gramStart"/>
      <w:r>
        <w:t>ecc...</w:t>
      </w:r>
      <w:proofErr w:type="gramEnd"/>
      <w:r>
        <w:t xml:space="preserve">, pertanto in base alla legge urbanistica vi è questo passaggio da fare. L’autorità competente potrà chiedere modifiche, dare, prescrizioni, richiedere assicurazioni, oppure potrà lasciare decorrere il termine e quindi si avrà l’approvazione per decorso degli stessi. </w:t>
      </w:r>
    </w:p>
    <w:p w14:paraId="2161065F" w14:textId="77777777" w:rsidR="00976A83" w:rsidRDefault="00976A83" w:rsidP="00976A83">
      <w:r>
        <w:t>•</w:t>
      </w:r>
      <w:r>
        <w:tab/>
        <w:t>Ottenuta l’autorizzazione alla realizzazione la Società / il Gruppo/ l’Associazione, potrà chiedere alla Federazione l’Omologazione del percorso, presentando al Comitato Territoriale l’autorizzazione, della autorità competente, la planimetria ed il Regolamento di Gestione contenete: Località, Apertura, Luogo d’Iscrizione, Itinerari, Autocontrolli sul percorso. Attività ludico – motoria. Obbligazione per il fruente di dotazioni che lo rendano autosufficiente nella attività di ristoro.</w:t>
      </w:r>
    </w:p>
    <w:p w14:paraId="223E403B" w14:textId="77777777" w:rsidR="00976A83" w:rsidRDefault="00976A83" w:rsidP="00976A83">
      <w:r>
        <w:t>•</w:t>
      </w:r>
      <w:r>
        <w:tab/>
        <w:t xml:space="preserve">Al Percorso Circolare Permanente si applicano le norme Federali per la fruizione dello stesso da parte dei soci e non soci. L’attività di gestione del percorso non è un evento ma FIASP-APS/ETS pone solo a disposizione una struttura permanete per praticare attività fisica ludico - motoria e ciò rientra fra i suoi scopi. Quindi non va usata la dicitura contributo di partecipazione a sostegno dell’evento. Per l’iscrizione al percorso non si usano i braccialetti, riservati agli eventi, ma un cartellino d’iscrizione nelle forme liberamente scelte dal gestore che comunque deve contenere il Logo Federale, Logo IVV e la dicitura percorso permanete </w:t>
      </w:r>
    </w:p>
    <w:p w14:paraId="4932E97B" w14:textId="77777777" w:rsidR="00976A83" w:rsidRDefault="00976A83" w:rsidP="00976A83">
      <w:r>
        <w:t>•</w:t>
      </w:r>
      <w:r>
        <w:tab/>
        <w:t>Coloro che intendono usufruire del percorso sotto l’egida di FIASP-APS/ETS, si iscrivono presso il soggetto Titolare dell’Omologazione ed iscrivendosi individualmente usufruiscono dei servizi Federali connessi come quelli assistenziali assicurativi e delle timbrature IVV. Per la fruizione del Percorso Circolare Permanente il titolare dell’Omologazione può prevedere l’abbinamento dell’iscrizione ad un dono ricordo con le stesse modalità che valgono per gli eventi FIASP-APS/ETS. Il Regolamento di gestione dovrà essere preventivamente inviato in Federazione Nazionale da parte del Comitato Territoriale.</w:t>
      </w:r>
    </w:p>
    <w:p w14:paraId="35F5BA76" w14:textId="4133E98D" w:rsidR="00E35162" w:rsidRDefault="00976A83" w:rsidP="00976A83">
      <w:r>
        <w:t>•</w:t>
      </w:r>
      <w:r>
        <w:tab/>
        <w:t>Il Comitato Territoriale dovrà provvedere a dotare il titolare del percorso dei timbri datari necessari per la gestione dei Concorsi Internazionali IVV ed ottenere dallo stesso una impegnativa ad effettuare il servizio timbrature.</w:t>
      </w:r>
    </w:p>
    <w:sectPr w:rsidR="00E351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15"/>
    <w:rsid w:val="002E29BE"/>
    <w:rsid w:val="00976A83"/>
    <w:rsid w:val="00E35162"/>
    <w:rsid w:val="00FE08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06C91-2DFA-42A5-9AE0-964BD47E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E0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E0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E081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E081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E081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E081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E081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E081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E081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E081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E081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E081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E081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E081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E081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E081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E081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E0815"/>
    <w:rPr>
      <w:rFonts w:eastAsiaTheme="majorEastAsia" w:cstheme="majorBidi"/>
      <w:color w:val="272727" w:themeColor="text1" w:themeTint="D8"/>
    </w:rPr>
  </w:style>
  <w:style w:type="paragraph" w:styleId="Titolo">
    <w:name w:val="Title"/>
    <w:basedOn w:val="Normale"/>
    <w:next w:val="Normale"/>
    <w:link w:val="TitoloCarattere"/>
    <w:uiPriority w:val="10"/>
    <w:qFormat/>
    <w:rsid w:val="00FE0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E081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E081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E081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E081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E0815"/>
    <w:rPr>
      <w:i/>
      <w:iCs/>
      <w:color w:val="404040" w:themeColor="text1" w:themeTint="BF"/>
    </w:rPr>
  </w:style>
  <w:style w:type="paragraph" w:styleId="Paragrafoelenco">
    <w:name w:val="List Paragraph"/>
    <w:basedOn w:val="Normale"/>
    <w:uiPriority w:val="34"/>
    <w:qFormat/>
    <w:rsid w:val="00FE0815"/>
    <w:pPr>
      <w:ind w:left="720"/>
      <w:contextualSpacing/>
    </w:pPr>
  </w:style>
  <w:style w:type="character" w:styleId="Enfasiintensa">
    <w:name w:val="Intense Emphasis"/>
    <w:basedOn w:val="Carpredefinitoparagrafo"/>
    <w:uiPriority w:val="21"/>
    <w:qFormat/>
    <w:rsid w:val="00FE0815"/>
    <w:rPr>
      <w:i/>
      <w:iCs/>
      <w:color w:val="0F4761" w:themeColor="accent1" w:themeShade="BF"/>
    </w:rPr>
  </w:style>
  <w:style w:type="paragraph" w:styleId="Citazioneintensa">
    <w:name w:val="Intense Quote"/>
    <w:basedOn w:val="Normale"/>
    <w:next w:val="Normale"/>
    <w:link w:val="CitazioneintensaCarattere"/>
    <w:uiPriority w:val="30"/>
    <w:qFormat/>
    <w:rsid w:val="00FE0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E0815"/>
    <w:rPr>
      <w:i/>
      <w:iCs/>
      <w:color w:val="0F4761" w:themeColor="accent1" w:themeShade="BF"/>
    </w:rPr>
  </w:style>
  <w:style w:type="character" w:styleId="Riferimentointenso">
    <w:name w:val="Intense Reference"/>
    <w:basedOn w:val="Carpredefinitoparagrafo"/>
    <w:uiPriority w:val="32"/>
    <w:qFormat/>
    <w:rsid w:val="00FE0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Fiasp</dc:creator>
  <cp:keywords/>
  <dc:description/>
  <cp:lastModifiedBy>Segreteria Fiasp</cp:lastModifiedBy>
  <cp:revision>2</cp:revision>
  <dcterms:created xsi:type="dcterms:W3CDTF">2024-11-11T10:41:00Z</dcterms:created>
  <dcterms:modified xsi:type="dcterms:W3CDTF">2024-11-11T10:41:00Z</dcterms:modified>
</cp:coreProperties>
</file>